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4409" w:rsidRPr="00104409" w:rsidRDefault="00104409" w:rsidP="00104409">
      <w:pPr>
        <w:rPr>
          <w:rFonts w:ascii="Times New Roman" w:eastAsia="Times New Roman" w:hAnsi="Times New Roman" w:cs="Times New Roman"/>
        </w:rPr>
      </w:pPr>
      <w:r w:rsidRPr="00104409">
        <w:rPr>
          <w:rFonts w:ascii="Trebuchet MS" w:eastAsia="Times New Roman" w:hAnsi="Trebuchet MS" w:cs="Times New Roman"/>
          <w:b/>
          <w:bCs/>
          <w:color w:val="EC7600"/>
          <w:sz w:val="18"/>
          <w:szCs w:val="18"/>
          <w:shd w:val="clear" w:color="auto" w:fill="FFFFFF"/>
        </w:rPr>
        <w:t>Benchmark - Summative Examination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270"/>
        <w:gridCol w:w="953"/>
        <w:gridCol w:w="1778"/>
        <w:gridCol w:w="1812"/>
        <w:gridCol w:w="1630"/>
        <w:gridCol w:w="1911"/>
        <w:gridCol w:w="6"/>
      </w:tblGrid>
      <w:tr w:rsidR="00104409" w:rsidRPr="00104409" w:rsidTr="00104409">
        <w:trPr>
          <w:gridAfter w:val="1"/>
          <w:tblCellSpacing w:w="0" w:type="dxa"/>
        </w:trPr>
        <w:tc>
          <w:tcPr>
            <w:tcW w:w="2565" w:type="dxa"/>
            <w:shd w:val="clear" w:color="auto" w:fill="FFFFFF"/>
            <w:tcMar>
              <w:top w:w="60" w:type="dxa"/>
              <w:left w:w="0" w:type="dxa"/>
              <w:bottom w:w="60" w:type="dxa"/>
              <w:right w:w="0" w:type="dxa"/>
            </w:tcMar>
            <w:vAlign w:val="center"/>
            <w:hideMark/>
          </w:tcPr>
          <w:p w:rsidR="00104409" w:rsidRPr="00104409" w:rsidRDefault="00104409" w:rsidP="00104409">
            <w:pPr>
              <w:spacing w:line="210" w:lineRule="atLeast"/>
              <w:jc w:val="center"/>
              <w:rPr>
                <w:rFonts w:ascii="Trebuchet MS" w:eastAsia="Times New Roman" w:hAnsi="Trebuchet MS" w:cs="Times New Roman"/>
                <w:b/>
                <w:bCs/>
                <w:color w:val="555555"/>
                <w:sz w:val="18"/>
                <w:szCs w:val="18"/>
              </w:rPr>
            </w:pPr>
            <w:r w:rsidRPr="00104409">
              <w:rPr>
                <w:rFonts w:ascii="Trebuchet MS" w:eastAsia="Times New Roman" w:hAnsi="Trebuchet MS" w:cs="Times New Roman"/>
                <w:b/>
                <w:bCs/>
                <w:color w:val="555555"/>
                <w:sz w:val="18"/>
                <w:szCs w:val="18"/>
              </w:rPr>
              <w:t> </w:t>
            </w:r>
          </w:p>
        </w:tc>
        <w:tc>
          <w:tcPr>
            <w:tcW w:w="1935" w:type="dxa"/>
            <w:shd w:val="clear" w:color="auto" w:fill="FFFFFF"/>
            <w:tcMar>
              <w:top w:w="60" w:type="dxa"/>
              <w:left w:w="0" w:type="dxa"/>
              <w:bottom w:w="60" w:type="dxa"/>
              <w:right w:w="0" w:type="dxa"/>
            </w:tcMar>
            <w:vAlign w:val="center"/>
            <w:hideMark/>
          </w:tcPr>
          <w:p w:rsidR="00104409" w:rsidRPr="00104409" w:rsidRDefault="00104409" w:rsidP="00104409">
            <w:pPr>
              <w:spacing w:line="210" w:lineRule="atLeast"/>
              <w:jc w:val="center"/>
              <w:rPr>
                <w:rFonts w:ascii="Trebuchet MS" w:eastAsia="Times New Roman" w:hAnsi="Trebuchet MS" w:cs="Times New Roman"/>
                <w:b/>
                <w:bCs/>
                <w:color w:val="555555"/>
                <w:sz w:val="18"/>
                <w:szCs w:val="18"/>
              </w:rPr>
            </w:pPr>
            <w:r w:rsidRPr="00104409">
              <w:rPr>
                <w:rFonts w:ascii="Trebuchet MS" w:eastAsia="Times New Roman" w:hAnsi="Trebuchet MS" w:cs="Times New Roman"/>
                <w:b/>
                <w:bCs/>
                <w:color w:val="555555"/>
                <w:sz w:val="18"/>
                <w:szCs w:val="18"/>
              </w:rPr>
              <w:t>1</w:t>
            </w:r>
            <w:r w:rsidRPr="00104409">
              <w:rPr>
                <w:rFonts w:ascii="Trebuchet MS" w:eastAsia="Times New Roman" w:hAnsi="Trebuchet MS" w:cs="Times New Roman"/>
                <w:b/>
                <w:bCs/>
                <w:color w:val="555555"/>
                <w:sz w:val="18"/>
                <w:szCs w:val="18"/>
              </w:rPr>
              <w:br/>
              <w:t>1: No Submission</w:t>
            </w:r>
            <w:r w:rsidRPr="00104409">
              <w:rPr>
                <w:rFonts w:ascii="Trebuchet MS" w:eastAsia="Times New Roman" w:hAnsi="Trebuchet MS" w:cs="Times New Roman"/>
                <w:b/>
                <w:bCs/>
                <w:color w:val="555555"/>
                <w:sz w:val="18"/>
                <w:szCs w:val="18"/>
              </w:rPr>
              <w:br/>
              <w:t>0.00%</w:t>
            </w:r>
          </w:p>
        </w:tc>
        <w:tc>
          <w:tcPr>
            <w:tcW w:w="1935" w:type="dxa"/>
            <w:shd w:val="clear" w:color="auto" w:fill="FFFFFF"/>
            <w:tcMar>
              <w:top w:w="60" w:type="dxa"/>
              <w:left w:w="0" w:type="dxa"/>
              <w:bottom w:w="60" w:type="dxa"/>
              <w:right w:w="0" w:type="dxa"/>
            </w:tcMar>
            <w:vAlign w:val="center"/>
            <w:hideMark/>
          </w:tcPr>
          <w:p w:rsidR="00104409" w:rsidRPr="00104409" w:rsidRDefault="00104409" w:rsidP="00104409">
            <w:pPr>
              <w:spacing w:line="210" w:lineRule="atLeast"/>
              <w:jc w:val="center"/>
              <w:rPr>
                <w:rFonts w:ascii="Trebuchet MS" w:eastAsia="Times New Roman" w:hAnsi="Trebuchet MS" w:cs="Times New Roman"/>
                <w:b/>
                <w:bCs/>
                <w:color w:val="555555"/>
                <w:sz w:val="18"/>
                <w:szCs w:val="18"/>
              </w:rPr>
            </w:pPr>
            <w:r w:rsidRPr="00104409">
              <w:rPr>
                <w:rFonts w:ascii="Trebuchet MS" w:eastAsia="Times New Roman" w:hAnsi="Trebuchet MS" w:cs="Times New Roman"/>
                <w:b/>
                <w:bCs/>
                <w:color w:val="555555"/>
                <w:sz w:val="18"/>
                <w:szCs w:val="18"/>
              </w:rPr>
              <w:t>2</w:t>
            </w:r>
            <w:r w:rsidRPr="00104409">
              <w:rPr>
                <w:rFonts w:ascii="Trebuchet MS" w:eastAsia="Times New Roman" w:hAnsi="Trebuchet MS" w:cs="Times New Roman"/>
                <w:b/>
                <w:bCs/>
                <w:color w:val="555555"/>
                <w:sz w:val="18"/>
                <w:szCs w:val="18"/>
              </w:rPr>
              <w:br/>
              <w:t>2: Insufficient</w:t>
            </w:r>
            <w:r w:rsidRPr="00104409">
              <w:rPr>
                <w:rFonts w:ascii="Trebuchet MS" w:eastAsia="Times New Roman" w:hAnsi="Trebuchet MS" w:cs="Times New Roman"/>
                <w:b/>
                <w:bCs/>
                <w:color w:val="555555"/>
                <w:sz w:val="18"/>
                <w:szCs w:val="18"/>
              </w:rPr>
              <w:br/>
              <w:t>69.00%</w:t>
            </w:r>
          </w:p>
        </w:tc>
        <w:tc>
          <w:tcPr>
            <w:tcW w:w="1935" w:type="dxa"/>
            <w:shd w:val="clear" w:color="auto" w:fill="FFFFFF"/>
            <w:tcMar>
              <w:top w:w="60" w:type="dxa"/>
              <w:left w:w="0" w:type="dxa"/>
              <w:bottom w:w="60" w:type="dxa"/>
              <w:right w:w="0" w:type="dxa"/>
            </w:tcMar>
            <w:vAlign w:val="center"/>
            <w:hideMark/>
          </w:tcPr>
          <w:p w:rsidR="00104409" w:rsidRPr="00104409" w:rsidRDefault="00104409" w:rsidP="00104409">
            <w:pPr>
              <w:spacing w:line="210" w:lineRule="atLeast"/>
              <w:jc w:val="center"/>
              <w:rPr>
                <w:rFonts w:ascii="Trebuchet MS" w:eastAsia="Times New Roman" w:hAnsi="Trebuchet MS" w:cs="Times New Roman"/>
                <w:b/>
                <w:bCs/>
                <w:color w:val="555555"/>
                <w:sz w:val="18"/>
                <w:szCs w:val="18"/>
              </w:rPr>
            </w:pPr>
            <w:r w:rsidRPr="00104409">
              <w:rPr>
                <w:rFonts w:ascii="Trebuchet MS" w:eastAsia="Times New Roman" w:hAnsi="Trebuchet MS" w:cs="Times New Roman"/>
                <w:b/>
                <w:bCs/>
                <w:color w:val="555555"/>
                <w:sz w:val="18"/>
                <w:szCs w:val="18"/>
              </w:rPr>
              <w:t>3</w:t>
            </w:r>
            <w:r w:rsidRPr="00104409">
              <w:rPr>
                <w:rFonts w:ascii="Trebuchet MS" w:eastAsia="Times New Roman" w:hAnsi="Trebuchet MS" w:cs="Times New Roman"/>
                <w:b/>
                <w:bCs/>
                <w:color w:val="555555"/>
                <w:sz w:val="18"/>
                <w:szCs w:val="18"/>
              </w:rPr>
              <w:br/>
              <w:t>3: Approaching</w:t>
            </w:r>
            <w:r w:rsidRPr="00104409">
              <w:rPr>
                <w:rFonts w:ascii="Trebuchet MS" w:eastAsia="Times New Roman" w:hAnsi="Trebuchet MS" w:cs="Times New Roman"/>
                <w:b/>
                <w:bCs/>
                <w:color w:val="555555"/>
                <w:sz w:val="18"/>
                <w:szCs w:val="18"/>
              </w:rPr>
              <w:br/>
              <w:t>74.00%</w:t>
            </w:r>
          </w:p>
        </w:tc>
        <w:tc>
          <w:tcPr>
            <w:tcW w:w="1935" w:type="dxa"/>
            <w:shd w:val="clear" w:color="auto" w:fill="FFFFFF"/>
            <w:tcMar>
              <w:top w:w="60" w:type="dxa"/>
              <w:left w:w="0" w:type="dxa"/>
              <w:bottom w:w="60" w:type="dxa"/>
              <w:right w:w="0" w:type="dxa"/>
            </w:tcMar>
            <w:vAlign w:val="center"/>
            <w:hideMark/>
          </w:tcPr>
          <w:p w:rsidR="00104409" w:rsidRPr="00104409" w:rsidRDefault="00104409" w:rsidP="00104409">
            <w:pPr>
              <w:spacing w:line="210" w:lineRule="atLeast"/>
              <w:jc w:val="center"/>
              <w:rPr>
                <w:rFonts w:ascii="Trebuchet MS" w:eastAsia="Times New Roman" w:hAnsi="Trebuchet MS" w:cs="Times New Roman"/>
                <w:b/>
                <w:bCs/>
                <w:color w:val="555555"/>
                <w:sz w:val="18"/>
                <w:szCs w:val="18"/>
              </w:rPr>
            </w:pPr>
            <w:r w:rsidRPr="00104409">
              <w:rPr>
                <w:rFonts w:ascii="Trebuchet MS" w:eastAsia="Times New Roman" w:hAnsi="Trebuchet MS" w:cs="Times New Roman"/>
                <w:b/>
                <w:bCs/>
                <w:color w:val="555555"/>
                <w:sz w:val="18"/>
                <w:szCs w:val="18"/>
              </w:rPr>
              <w:t>4</w:t>
            </w:r>
            <w:r w:rsidRPr="00104409">
              <w:rPr>
                <w:rFonts w:ascii="Trebuchet MS" w:eastAsia="Times New Roman" w:hAnsi="Trebuchet MS" w:cs="Times New Roman"/>
                <w:b/>
                <w:bCs/>
                <w:color w:val="555555"/>
                <w:sz w:val="18"/>
                <w:szCs w:val="18"/>
              </w:rPr>
              <w:br/>
              <w:t>4: Acceptable </w:t>
            </w:r>
            <w:r w:rsidRPr="00104409">
              <w:rPr>
                <w:rFonts w:ascii="Trebuchet MS" w:eastAsia="Times New Roman" w:hAnsi="Trebuchet MS" w:cs="Times New Roman"/>
                <w:b/>
                <w:bCs/>
                <w:color w:val="555555"/>
                <w:sz w:val="18"/>
                <w:szCs w:val="18"/>
              </w:rPr>
              <w:br/>
              <w:t>87.00%</w:t>
            </w:r>
          </w:p>
        </w:tc>
        <w:tc>
          <w:tcPr>
            <w:tcW w:w="1935" w:type="dxa"/>
            <w:shd w:val="clear" w:color="auto" w:fill="FFFFFF"/>
            <w:tcMar>
              <w:top w:w="60" w:type="dxa"/>
              <w:left w:w="0" w:type="dxa"/>
              <w:bottom w:w="60" w:type="dxa"/>
              <w:right w:w="0" w:type="dxa"/>
            </w:tcMar>
            <w:vAlign w:val="center"/>
            <w:hideMark/>
          </w:tcPr>
          <w:p w:rsidR="00104409" w:rsidRPr="00104409" w:rsidRDefault="00104409" w:rsidP="00104409">
            <w:pPr>
              <w:spacing w:line="210" w:lineRule="atLeast"/>
              <w:jc w:val="center"/>
              <w:rPr>
                <w:rFonts w:ascii="Trebuchet MS" w:eastAsia="Times New Roman" w:hAnsi="Trebuchet MS" w:cs="Times New Roman"/>
                <w:b/>
                <w:bCs/>
                <w:color w:val="555555"/>
                <w:sz w:val="18"/>
                <w:szCs w:val="18"/>
              </w:rPr>
            </w:pPr>
            <w:r w:rsidRPr="00104409">
              <w:rPr>
                <w:rFonts w:ascii="Trebuchet MS" w:eastAsia="Times New Roman" w:hAnsi="Trebuchet MS" w:cs="Times New Roman"/>
                <w:b/>
                <w:bCs/>
                <w:color w:val="555555"/>
                <w:sz w:val="18"/>
                <w:szCs w:val="18"/>
              </w:rPr>
              <w:t>5</w:t>
            </w:r>
            <w:r w:rsidRPr="00104409">
              <w:rPr>
                <w:rFonts w:ascii="Trebuchet MS" w:eastAsia="Times New Roman" w:hAnsi="Trebuchet MS" w:cs="Times New Roman"/>
                <w:b/>
                <w:bCs/>
                <w:color w:val="555555"/>
                <w:sz w:val="18"/>
                <w:szCs w:val="18"/>
              </w:rPr>
              <w:br/>
              <w:t>5: Target</w:t>
            </w:r>
            <w:r w:rsidRPr="00104409">
              <w:rPr>
                <w:rFonts w:ascii="Trebuchet MS" w:eastAsia="Times New Roman" w:hAnsi="Trebuchet MS" w:cs="Times New Roman"/>
                <w:b/>
                <w:bCs/>
                <w:color w:val="555555"/>
                <w:sz w:val="18"/>
                <w:szCs w:val="18"/>
              </w:rPr>
              <w:br/>
              <w:t>100.00%</w:t>
            </w:r>
          </w:p>
        </w:tc>
      </w:tr>
      <w:tr w:rsidR="00104409" w:rsidRPr="00104409" w:rsidTr="00104409">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b/>
                <w:bCs/>
                <w:color w:val="000000"/>
                <w:sz w:val="18"/>
                <w:szCs w:val="18"/>
              </w:rPr>
              <w:t>100.0 %CRITERIA</w:t>
            </w:r>
          </w:p>
        </w:tc>
        <w:tc>
          <w:tcPr>
            <w:tcW w:w="0" w:type="auto"/>
            <w:gridSpan w:val="6"/>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104409" w:rsidRPr="00104409" w:rsidRDefault="00104409" w:rsidP="00104409">
            <w:pPr>
              <w:spacing w:line="210" w:lineRule="atLeast"/>
              <w:jc w:val="center"/>
              <w:rPr>
                <w:rFonts w:ascii="Trebuchet MS" w:eastAsia="Times New Roman" w:hAnsi="Trebuchet MS" w:cs="Times New Roman"/>
                <w:b/>
                <w:bCs/>
                <w:color w:val="000000"/>
                <w:sz w:val="18"/>
                <w:szCs w:val="18"/>
              </w:rPr>
            </w:pPr>
            <w:r w:rsidRPr="00104409">
              <w:rPr>
                <w:rFonts w:ascii="Trebuchet MS" w:eastAsia="Times New Roman" w:hAnsi="Trebuchet MS" w:cs="Times New Roman"/>
                <w:b/>
                <w:bCs/>
                <w:color w:val="000000"/>
                <w:sz w:val="18"/>
                <w:szCs w:val="18"/>
              </w:rPr>
              <w:t> </w:t>
            </w:r>
          </w:p>
        </w:tc>
      </w:tr>
      <w:tr w:rsidR="00104409" w:rsidRPr="00104409" w:rsidTr="00104409">
        <w:trPr>
          <w:tblCellSpacing w:w="0" w:type="dxa"/>
        </w:trPr>
        <w:tc>
          <w:tcPr>
            <w:tcW w:w="0" w:type="auto"/>
            <w:tcBorders>
              <w:left w:val="single" w:sz="6" w:space="0" w:color="D0D0D0"/>
              <w:bottom w:val="single" w:sz="6" w:space="0" w:color="D0D0D0"/>
            </w:tcBorders>
            <w:shd w:val="clear" w:color="auto" w:fill="F6F6F6"/>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b/>
                <w:bCs/>
                <w:color w:val="000000"/>
                <w:sz w:val="18"/>
                <w:szCs w:val="18"/>
              </w:rPr>
              <w:t xml:space="preserve">30.0 %Case Study Short Answer Responses CEC 1.2; </w:t>
            </w:r>
            <w:proofErr w:type="spellStart"/>
            <w:r w:rsidRPr="00104409">
              <w:rPr>
                <w:rFonts w:ascii="Trebuchet MS" w:eastAsia="Times New Roman" w:hAnsi="Trebuchet MS" w:cs="Times New Roman"/>
                <w:b/>
                <w:bCs/>
                <w:color w:val="000000"/>
                <w:sz w:val="18"/>
                <w:szCs w:val="18"/>
              </w:rPr>
              <w:t>InTASC</w:t>
            </w:r>
            <w:proofErr w:type="spellEnd"/>
            <w:r w:rsidRPr="00104409">
              <w:rPr>
                <w:rFonts w:ascii="Trebuchet MS" w:eastAsia="Times New Roman" w:hAnsi="Trebuchet MS" w:cs="Times New Roman"/>
                <w:b/>
                <w:bCs/>
                <w:color w:val="000000"/>
                <w:sz w:val="18"/>
                <w:szCs w:val="18"/>
              </w:rPr>
              <w:t xml:space="preserve"> 1(f), 2(h)</w:t>
            </w:r>
          </w:p>
        </w:tc>
        <w:tc>
          <w:tcPr>
            <w:tcW w:w="0" w:type="auto"/>
            <w:tcBorders>
              <w:left w:val="single" w:sz="6" w:space="0" w:color="D0D0D0"/>
              <w:bottom w:val="single" w:sz="6" w:space="0" w:color="D0D0D0"/>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t>Not addressed.</w:t>
            </w:r>
          </w:p>
        </w:tc>
        <w:tc>
          <w:tcPr>
            <w:tcW w:w="0" w:type="auto"/>
            <w:tcBorders>
              <w:left w:val="single" w:sz="6" w:space="0" w:color="D0D0D0"/>
              <w:bottom w:val="single" w:sz="6" w:space="0" w:color="D0D0D0"/>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t>Short answer responses fail to convey applicable IDEA disability and rationale for disability identification choice is inappropriate.</w:t>
            </w:r>
          </w:p>
        </w:tc>
        <w:tc>
          <w:tcPr>
            <w:tcW w:w="0" w:type="auto"/>
            <w:tcBorders>
              <w:left w:val="single" w:sz="6" w:space="0" w:color="D0D0D0"/>
              <w:bottom w:val="single" w:sz="6" w:space="0" w:color="D0D0D0"/>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t>Short answer response is vague in identifying applicable IDEA disability and/or an overly simplistic rationale for disability identification choice is provided.</w:t>
            </w:r>
          </w:p>
        </w:tc>
        <w:tc>
          <w:tcPr>
            <w:tcW w:w="0" w:type="auto"/>
            <w:tcBorders>
              <w:left w:val="single" w:sz="6" w:space="0" w:color="D0D0D0"/>
              <w:bottom w:val="single" w:sz="6" w:space="0" w:color="D0D0D0"/>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t>Short answer responses identify IDEA disability and provide adequate, clear rationale for disability identification choice.</w:t>
            </w:r>
          </w:p>
        </w:tc>
        <w:tc>
          <w:tcPr>
            <w:tcW w:w="0" w:type="auto"/>
            <w:tcBorders>
              <w:left w:val="single" w:sz="6" w:space="0" w:color="D0D0D0"/>
              <w:bottom w:val="single" w:sz="6" w:space="0" w:color="D0D0D0"/>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t>Short answer responses correctly identify IDEA disability and provide comprehensive, detailed rationale for disability identification choice.</w:t>
            </w:r>
          </w:p>
        </w:tc>
        <w:tc>
          <w:tcPr>
            <w:tcW w:w="0" w:type="auto"/>
            <w:shd w:val="clear" w:color="auto" w:fill="FFFFFF"/>
            <w:vAlign w:val="center"/>
            <w:hideMark/>
          </w:tcPr>
          <w:p w:rsidR="00104409" w:rsidRPr="00104409" w:rsidRDefault="00104409" w:rsidP="00104409">
            <w:pPr>
              <w:spacing w:line="210" w:lineRule="atLeast"/>
              <w:rPr>
                <w:rFonts w:ascii="Times New Roman" w:eastAsia="Times New Roman" w:hAnsi="Times New Roman" w:cs="Times New Roman"/>
                <w:sz w:val="20"/>
                <w:szCs w:val="20"/>
              </w:rPr>
            </w:pPr>
          </w:p>
        </w:tc>
      </w:tr>
      <w:tr w:rsidR="00104409" w:rsidRPr="00104409" w:rsidTr="00104409">
        <w:trPr>
          <w:tblCellSpacing w:w="0" w:type="dxa"/>
        </w:trPr>
        <w:tc>
          <w:tcPr>
            <w:tcW w:w="0" w:type="auto"/>
            <w:tcBorders>
              <w:left w:val="single" w:sz="6" w:space="0" w:color="D0D0D0"/>
              <w:bottom w:val="single" w:sz="6" w:space="0" w:color="D0D0D0"/>
            </w:tcBorders>
            <w:shd w:val="clear" w:color="auto" w:fill="F6F6F6"/>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b/>
                <w:bCs/>
                <w:color w:val="000000"/>
                <w:sz w:val="18"/>
                <w:szCs w:val="18"/>
              </w:rPr>
              <w:t xml:space="preserve">30.0 %Essay: Diversity CEC 1.1; </w:t>
            </w:r>
            <w:proofErr w:type="spellStart"/>
            <w:r w:rsidRPr="00104409">
              <w:rPr>
                <w:rFonts w:ascii="Trebuchet MS" w:eastAsia="Times New Roman" w:hAnsi="Trebuchet MS" w:cs="Times New Roman"/>
                <w:b/>
                <w:bCs/>
                <w:color w:val="000000"/>
                <w:sz w:val="18"/>
                <w:szCs w:val="18"/>
              </w:rPr>
              <w:t>InTASC</w:t>
            </w:r>
            <w:proofErr w:type="spellEnd"/>
            <w:r w:rsidRPr="00104409">
              <w:rPr>
                <w:rFonts w:ascii="Trebuchet MS" w:eastAsia="Times New Roman" w:hAnsi="Trebuchet MS" w:cs="Times New Roman"/>
                <w:b/>
                <w:bCs/>
                <w:color w:val="000000"/>
                <w:sz w:val="18"/>
                <w:szCs w:val="18"/>
              </w:rPr>
              <w:t xml:space="preserve"> 2(g) COE: D1 1.1</w:t>
            </w:r>
          </w:p>
        </w:tc>
        <w:tc>
          <w:tcPr>
            <w:tcW w:w="0" w:type="auto"/>
            <w:tcBorders>
              <w:left w:val="single" w:sz="6" w:space="0" w:color="D0D0D0"/>
              <w:bottom w:val="single" w:sz="6" w:space="0" w:color="D0D0D0"/>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t>Not addressed.</w:t>
            </w:r>
          </w:p>
        </w:tc>
        <w:tc>
          <w:tcPr>
            <w:tcW w:w="0" w:type="auto"/>
            <w:tcBorders>
              <w:left w:val="single" w:sz="6" w:space="0" w:color="D0D0D0"/>
              <w:bottom w:val="single" w:sz="6" w:space="0" w:color="D0D0D0"/>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t>Essay inappropriately describes how language, culture, and family background influence the learning of individuals with the selected disability.</w:t>
            </w:r>
          </w:p>
        </w:tc>
        <w:tc>
          <w:tcPr>
            <w:tcW w:w="0" w:type="auto"/>
            <w:tcBorders>
              <w:left w:val="single" w:sz="6" w:space="0" w:color="D0D0D0"/>
              <w:bottom w:val="single" w:sz="6" w:space="0" w:color="D0D0D0"/>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t>Essay inadequately describes how language, culture, and family background influence the learning of individuals with the selected disability. Description is not clearly supported with research.</w:t>
            </w:r>
          </w:p>
        </w:tc>
        <w:tc>
          <w:tcPr>
            <w:tcW w:w="0" w:type="auto"/>
            <w:tcBorders>
              <w:left w:val="single" w:sz="6" w:space="0" w:color="D0D0D0"/>
              <w:bottom w:val="single" w:sz="6" w:space="0" w:color="D0D0D0"/>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t>Essay adequately describes how language, culture, and family background influence the learning of individuals with the selected disability. Description is generally supported by research presented.</w:t>
            </w:r>
          </w:p>
        </w:tc>
        <w:tc>
          <w:tcPr>
            <w:tcW w:w="0" w:type="auto"/>
            <w:tcBorders>
              <w:left w:val="single" w:sz="6" w:space="0" w:color="D0D0D0"/>
              <w:bottom w:val="single" w:sz="6" w:space="0" w:color="D0D0D0"/>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t>Essay comprehensively describes how language, culture, and family background influence the learning of individuals with the selected disability. Description is well supported with research.</w:t>
            </w:r>
          </w:p>
        </w:tc>
        <w:tc>
          <w:tcPr>
            <w:tcW w:w="0" w:type="auto"/>
            <w:shd w:val="clear" w:color="auto" w:fill="FFFFFF"/>
            <w:vAlign w:val="center"/>
            <w:hideMark/>
          </w:tcPr>
          <w:p w:rsidR="00104409" w:rsidRPr="00104409" w:rsidRDefault="00104409" w:rsidP="00104409">
            <w:pPr>
              <w:spacing w:line="210" w:lineRule="atLeast"/>
              <w:rPr>
                <w:rFonts w:ascii="Times New Roman" w:eastAsia="Times New Roman" w:hAnsi="Times New Roman" w:cs="Times New Roman"/>
                <w:sz w:val="20"/>
                <w:szCs w:val="20"/>
              </w:rPr>
            </w:pPr>
          </w:p>
        </w:tc>
      </w:tr>
      <w:tr w:rsidR="00104409" w:rsidRPr="00104409" w:rsidTr="00104409">
        <w:trPr>
          <w:tblCellSpacing w:w="0" w:type="dxa"/>
        </w:trPr>
        <w:tc>
          <w:tcPr>
            <w:tcW w:w="0" w:type="auto"/>
            <w:tcBorders>
              <w:left w:val="single" w:sz="6" w:space="0" w:color="D0D0D0"/>
              <w:bottom w:val="single" w:sz="6" w:space="0" w:color="D0D0D0"/>
            </w:tcBorders>
            <w:shd w:val="clear" w:color="auto" w:fill="F6F6F6"/>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b/>
                <w:bCs/>
                <w:color w:val="000000"/>
                <w:sz w:val="18"/>
                <w:szCs w:val="18"/>
              </w:rPr>
              <w:t>30.0 %Essay: Development CEC 1.2; InTASC1(e), COE: D1 1.2</w:t>
            </w:r>
          </w:p>
        </w:tc>
        <w:tc>
          <w:tcPr>
            <w:tcW w:w="0" w:type="auto"/>
            <w:tcBorders>
              <w:left w:val="single" w:sz="6" w:space="0" w:color="D0D0D0"/>
              <w:bottom w:val="single" w:sz="6" w:space="0" w:color="D0D0D0"/>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t>Not addressed.</w:t>
            </w:r>
          </w:p>
        </w:tc>
        <w:tc>
          <w:tcPr>
            <w:tcW w:w="0" w:type="auto"/>
            <w:tcBorders>
              <w:left w:val="single" w:sz="6" w:space="0" w:color="D0D0D0"/>
              <w:bottom w:val="single" w:sz="6" w:space="0" w:color="D0D0D0"/>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t>Essay inappropriately summarizes the cognitive, linguistic, social, and emotional development of individuals with the selected disability and three instructional approaches that respond to the needs of individuals with the selected disability. Description is not supported with research.</w:t>
            </w:r>
          </w:p>
        </w:tc>
        <w:tc>
          <w:tcPr>
            <w:tcW w:w="0" w:type="auto"/>
            <w:tcBorders>
              <w:left w:val="single" w:sz="6" w:space="0" w:color="D0D0D0"/>
              <w:bottom w:val="single" w:sz="6" w:space="0" w:color="D0D0D0"/>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t>Essay inadequately summarizes the cognitive, linguistic, social, and emotional development of individuals with the selected disability, the three instructional approaches do not adequately respond to the needs of individuals with the selected disability, and/or the description is not supported by research presented.</w:t>
            </w:r>
          </w:p>
        </w:tc>
        <w:tc>
          <w:tcPr>
            <w:tcW w:w="0" w:type="auto"/>
            <w:tcBorders>
              <w:left w:val="single" w:sz="6" w:space="0" w:color="D0D0D0"/>
              <w:bottom w:val="single" w:sz="6" w:space="0" w:color="D0D0D0"/>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t>Essay adequately summarizes the cognitive, linguistic, social, and emotional development of individuals with the selected disability. The three instructional approaches generally respond to the needs of individuals with the selected disability. Description is supported with research.</w:t>
            </w:r>
          </w:p>
        </w:tc>
        <w:tc>
          <w:tcPr>
            <w:tcW w:w="0" w:type="auto"/>
            <w:tcBorders>
              <w:left w:val="single" w:sz="6" w:space="0" w:color="D0D0D0"/>
              <w:bottom w:val="single" w:sz="6" w:space="0" w:color="D0D0D0"/>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t>Essay thoroughly summarizes the cognitive, linguistic, social, and emotional development of individuals with the selected disability. The three instructional approaches are engaging and fully address the needs of individuals with the selected disability. Description is well supported with research.</w:t>
            </w:r>
          </w:p>
        </w:tc>
        <w:tc>
          <w:tcPr>
            <w:tcW w:w="0" w:type="auto"/>
            <w:shd w:val="clear" w:color="auto" w:fill="FFFFFF"/>
            <w:vAlign w:val="center"/>
            <w:hideMark/>
          </w:tcPr>
          <w:p w:rsidR="00104409" w:rsidRPr="00104409" w:rsidRDefault="00104409" w:rsidP="00104409">
            <w:pPr>
              <w:spacing w:line="210" w:lineRule="atLeast"/>
              <w:rPr>
                <w:rFonts w:ascii="Times New Roman" w:eastAsia="Times New Roman" w:hAnsi="Times New Roman" w:cs="Times New Roman"/>
                <w:sz w:val="20"/>
                <w:szCs w:val="20"/>
              </w:rPr>
            </w:pPr>
          </w:p>
        </w:tc>
      </w:tr>
      <w:tr w:rsidR="00104409" w:rsidRPr="00104409" w:rsidTr="00104409">
        <w:trPr>
          <w:tblCellSpacing w:w="0" w:type="dxa"/>
        </w:trPr>
        <w:tc>
          <w:tcPr>
            <w:tcW w:w="0" w:type="auto"/>
            <w:tcBorders>
              <w:left w:val="single" w:sz="6" w:space="0" w:color="D0D0D0"/>
              <w:bottom w:val="single" w:sz="6" w:space="0" w:color="D0D0D0"/>
            </w:tcBorders>
            <w:shd w:val="clear" w:color="auto" w:fill="F6F6F6"/>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b/>
                <w:bCs/>
                <w:color w:val="000000"/>
                <w:sz w:val="18"/>
                <w:szCs w:val="18"/>
              </w:rPr>
              <w:t>5.0 %Research Citations</w:t>
            </w:r>
          </w:p>
        </w:tc>
        <w:tc>
          <w:tcPr>
            <w:tcW w:w="0" w:type="auto"/>
            <w:tcBorders>
              <w:left w:val="single" w:sz="6" w:space="0" w:color="D0D0D0"/>
              <w:bottom w:val="single" w:sz="6" w:space="0" w:color="D0D0D0"/>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t>Not addressed.</w:t>
            </w:r>
          </w:p>
        </w:tc>
        <w:tc>
          <w:tcPr>
            <w:tcW w:w="0" w:type="auto"/>
            <w:tcBorders>
              <w:left w:val="single" w:sz="6" w:space="0" w:color="D0D0D0"/>
              <w:bottom w:val="single" w:sz="6" w:space="0" w:color="D0D0D0"/>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t>Research is not cited according to APA guidelines.</w:t>
            </w:r>
          </w:p>
        </w:tc>
        <w:tc>
          <w:tcPr>
            <w:tcW w:w="0" w:type="auto"/>
            <w:tcBorders>
              <w:left w:val="single" w:sz="6" w:space="0" w:color="D0D0D0"/>
              <w:bottom w:val="single" w:sz="6" w:space="0" w:color="D0D0D0"/>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t>Research is cited according to APA guidelines and contains many errors.</w:t>
            </w:r>
          </w:p>
        </w:tc>
        <w:tc>
          <w:tcPr>
            <w:tcW w:w="0" w:type="auto"/>
            <w:tcBorders>
              <w:left w:val="single" w:sz="6" w:space="0" w:color="D0D0D0"/>
              <w:bottom w:val="single" w:sz="6" w:space="0" w:color="D0D0D0"/>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t>Research is cited according to APA guidelines and contains very few errors.</w:t>
            </w:r>
          </w:p>
        </w:tc>
        <w:tc>
          <w:tcPr>
            <w:tcW w:w="0" w:type="auto"/>
            <w:tcBorders>
              <w:left w:val="single" w:sz="6" w:space="0" w:color="D0D0D0"/>
              <w:bottom w:val="single" w:sz="6" w:space="0" w:color="D0D0D0"/>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t>Research is cited according to APA guidelines and contains no errors.</w:t>
            </w:r>
          </w:p>
        </w:tc>
        <w:tc>
          <w:tcPr>
            <w:tcW w:w="0" w:type="auto"/>
            <w:shd w:val="clear" w:color="auto" w:fill="FFFFFF"/>
            <w:vAlign w:val="center"/>
            <w:hideMark/>
          </w:tcPr>
          <w:p w:rsidR="00104409" w:rsidRPr="00104409" w:rsidRDefault="00104409" w:rsidP="00104409">
            <w:pPr>
              <w:spacing w:line="210" w:lineRule="atLeast"/>
              <w:rPr>
                <w:rFonts w:ascii="Times New Roman" w:eastAsia="Times New Roman" w:hAnsi="Times New Roman" w:cs="Times New Roman"/>
                <w:sz w:val="20"/>
                <w:szCs w:val="20"/>
              </w:rPr>
            </w:pPr>
          </w:p>
        </w:tc>
      </w:tr>
      <w:tr w:rsidR="00104409" w:rsidRPr="00104409" w:rsidTr="00104409">
        <w:trPr>
          <w:tblCellSpacing w:w="0" w:type="dxa"/>
        </w:trPr>
        <w:tc>
          <w:tcPr>
            <w:tcW w:w="0" w:type="auto"/>
            <w:tcBorders>
              <w:left w:val="single" w:sz="6" w:space="0" w:color="D0D0D0"/>
              <w:bottom w:val="single" w:sz="6" w:space="0" w:color="D0D0D0"/>
            </w:tcBorders>
            <w:shd w:val="clear" w:color="auto" w:fill="F6F6F6"/>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b/>
                <w:bCs/>
                <w:color w:val="000000"/>
                <w:sz w:val="18"/>
                <w:szCs w:val="18"/>
              </w:rPr>
              <w:t>5.0 %Mechanics of Writing (includes spelling, punctuation, grammar, language use)</w:t>
            </w:r>
          </w:p>
        </w:tc>
        <w:tc>
          <w:tcPr>
            <w:tcW w:w="0" w:type="auto"/>
            <w:tcBorders>
              <w:left w:val="single" w:sz="6" w:space="0" w:color="D0D0D0"/>
              <w:bottom w:val="single" w:sz="6" w:space="0" w:color="D0D0D0"/>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t>Not addressed.</w:t>
            </w:r>
          </w:p>
        </w:tc>
        <w:tc>
          <w:tcPr>
            <w:tcW w:w="0" w:type="auto"/>
            <w:tcBorders>
              <w:left w:val="single" w:sz="6" w:space="0" w:color="D0D0D0"/>
              <w:bottom w:val="single" w:sz="6" w:space="0" w:color="D0D0D0"/>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t xml:space="preserve">Surface errors are pervasive enough that they impede communication of meaning. Inappropriate word choice and/or sentence </w:t>
            </w:r>
            <w:r w:rsidRPr="00104409">
              <w:rPr>
                <w:rFonts w:ascii="Trebuchet MS" w:eastAsia="Times New Roman" w:hAnsi="Trebuchet MS" w:cs="Times New Roman"/>
                <w:color w:val="555555"/>
                <w:sz w:val="18"/>
                <w:szCs w:val="18"/>
              </w:rPr>
              <w:lastRenderedPageBreak/>
              <w:t>construction are used.</w:t>
            </w:r>
          </w:p>
        </w:tc>
        <w:tc>
          <w:tcPr>
            <w:tcW w:w="0" w:type="auto"/>
            <w:tcBorders>
              <w:left w:val="single" w:sz="6" w:space="0" w:color="D0D0D0"/>
              <w:bottom w:val="single" w:sz="6" w:space="0" w:color="D0D0D0"/>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lastRenderedPageBreak/>
              <w:t xml:space="preserve">Frequent and repetitive mechanical errors distract the reader. Inconsistencies in language choice (register) and/or word choice are </w:t>
            </w:r>
            <w:r w:rsidRPr="00104409">
              <w:rPr>
                <w:rFonts w:ascii="Trebuchet MS" w:eastAsia="Times New Roman" w:hAnsi="Trebuchet MS" w:cs="Times New Roman"/>
                <w:color w:val="555555"/>
                <w:sz w:val="18"/>
                <w:szCs w:val="18"/>
              </w:rPr>
              <w:lastRenderedPageBreak/>
              <w:t>present. Sentence structure is correct but not varied.</w:t>
            </w:r>
          </w:p>
        </w:tc>
        <w:tc>
          <w:tcPr>
            <w:tcW w:w="0" w:type="auto"/>
            <w:tcBorders>
              <w:left w:val="single" w:sz="6" w:space="0" w:color="D0D0D0"/>
              <w:bottom w:val="single" w:sz="6" w:space="0" w:color="D0D0D0"/>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lastRenderedPageBreak/>
              <w:t xml:space="preserve">Prose is largely free of mechanical errors, although a few may be present. The writer uses a variety of effective sentence </w:t>
            </w:r>
            <w:r w:rsidRPr="00104409">
              <w:rPr>
                <w:rFonts w:ascii="Trebuchet MS" w:eastAsia="Times New Roman" w:hAnsi="Trebuchet MS" w:cs="Times New Roman"/>
                <w:color w:val="555555"/>
                <w:sz w:val="18"/>
                <w:szCs w:val="18"/>
              </w:rPr>
              <w:lastRenderedPageBreak/>
              <w:t>structures and figures of speech.</w:t>
            </w:r>
          </w:p>
        </w:tc>
        <w:tc>
          <w:tcPr>
            <w:tcW w:w="0" w:type="auto"/>
            <w:tcBorders>
              <w:left w:val="single" w:sz="6" w:space="0" w:color="D0D0D0"/>
              <w:bottom w:val="single" w:sz="6" w:space="0" w:color="D0D0D0"/>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lastRenderedPageBreak/>
              <w:t>Word choice reflects well-developed use of practice and content-related language. It is free of mechanical and conventional errors.</w:t>
            </w:r>
          </w:p>
        </w:tc>
        <w:tc>
          <w:tcPr>
            <w:tcW w:w="0" w:type="auto"/>
            <w:shd w:val="clear" w:color="auto" w:fill="FFFFFF"/>
            <w:vAlign w:val="center"/>
            <w:hideMark/>
          </w:tcPr>
          <w:p w:rsidR="00104409" w:rsidRPr="00104409" w:rsidRDefault="00104409" w:rsidP="00104409">
            <w:pPr>
              <w:spacing w:line="210" w:lineRule="atLeast"/>
              <w:rPr>
                <w:rFonts w:ascii="Times New Roman" w:eastAsia="Times New Roman" w:hAnsi="Times New Roman" w:cs="Times New Roman"/>
                <w:sz w:val="20"/>
                <w:szCs w:val="20"/>
              </w:rPr>
            </w:pPr>
          </w:p>
        </w:tc>
      </w:tr>
      <w:tr w:rsidR="00104409" w:rsidRPr="00104409" w:rsidTr="00104409">
        <w:trPr>
          <w:trHeight w:val="480"/>
          <w:tblCellSpacing w:w="0" w:type="dxa"/>
        </w:trPr>
        <w:tc>
          <w:tcPr>
            <w:tcW w:w="0" w:type="auto"/>
            <w:tcBorders>
              <w:top w:val="nil"/>
              <w:left w:val="nil"/>
              <w:bottom w:val="nil"/>
              <w:right w:val="nil"/>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b/>
                <w:bCs/>
                <w:color w:val="000000"/>
                <w:sz w:val="18"/>
                <w:szCs w:val="18"/>
              </w:rPr>
              <w:t>100 %Total Weightage</w:t>
            </w:r>
          </w:p>
        </w:tc>
        <w:tc>
          <w:tcPr>
            <w:tcW w:w="0" w:type="auto"/>
            <w:gridSpan w:val="5"/>
            <w:tcBorders>
              <w:top w:val="nil"/>
              <w:left w:val="nil"/>
              <w:bottom w:val="nil"/>
              <w:right w:val="nil"/>
            </w:tcBorders>
            <w:shd w:val="clear" w:color="auto" w:fill="FFFFFF"/>
            <w:hideMark/>
          </w:tcPr>
          <w:p w:rsidR="00104409" w:rsidRPr="00104409" w:rsidRDefault="00104409" w:rsidP="00104409">
            <w:pPr>
              <w:spacing w:line="210" w:lineRule="atLeast"/>
              <w:rPr>
                <w:rFonts w:ascii="Trebuchet MS" w:eastAsia="Times New Roman" w:hAnsi="Trebuchet MS" w:cs="Times New Roman"/>
                <w:color w:val="555555"/>
                <w:sz w:val="18"/>
                <w:szCs w:val="18"/>
              </w:rPr>
            </w:pPr>
            <w:r w:rsidRPr="00104409">
              <w:rPr>
                <w:rFonts w:ascii="Trebuchet MS" w:eastAsia="Times New Roman" w:hAnsi="Trebuchet MS" w:cs="Times New Roman"/>
                <w:color w:val="555555"/>
                <w:sz w:val="18"/>
                <w:szCs w:val="18"/>
              </w:rPr>
              <w:t> </w:t>
            </w:r>
          </w:p>
        </w:tc>
        <w:tc>
          <w:tcPr>
            <w:tcW w:w="0" w:type="auto"/>
            <w:shd w:val="clear" w:color="auto" w:fill="FFFFFF"/>
            <w:vAlign w:val="center"/>
            <w:hideMark/>
          </w:tcPr>
          <w:p w:rsidR="00104409" w:rsidRPr="00104409" w:rsidRDefault="00104409" w:rsidP="00104409">
            <w:pPr>
              <w:spacing w:line="210" w:lineRule="atLeast"/>
              <w:rPr>
                <w:rFonts w:ascii="Times New Roman" w:eastAsia="Times New Roman" w:hAnsi="Times New Roman" w:cs="Times New Roman"/>
                <w:sz w:val="20"/>
                <w:szCs w:val="20"/>
              </w:rPr>
            </w:pPr>
          </w:p>
        </w:tc>
      </w:tr>
    </w:tbl>
    <w:p w:rsidR="00104409" w:rsidRPr="00104409" w:rsidRDefault="00104409" w:rsidP="00104409">
      <w:pPr>
        <w:spacing w:after="240"/>
        <w:rPr>
          <w:rFonts w:ascii="Times New Roman" w:eastAsia="Times New Roman" w:hAnsi="Times New Roman" w:cs="Times New Roman"/>
        </w:rPr>
      </w:pPr>
    </w:p>
    <w:p w:rsidR="00516E05" w:rsidRDefault="00516E05">
      <w:bookmarkStart w:id="0" w:name="_GoBack"/>
      <w:bookmarkEnd w:id="0"/>
    </w:p>
    <w:sectPr w:rsidR="00516E05" w:rsidSect="008130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409"/>
    <w:rsid w:val="00104409"/>
    <w:rsid w:val="00516E05"/>
    <w:rsid w:val="00813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63A8FD6-B650-3A46-90A6-1E53F05C7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44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0128026">
      <w:bodyDiv w:val="1"/>
      <w:marLeft w:val="0"/>
      <w:marRight w:val="0"/>
      <w:marTop w:val="0"/>
      <w:marBottom w:val="0"/>
      <w:divBdr>
        <w:top w:val="none" w:sz="0" w:space="0" w:color="auto"/>
        <w:left w:val="none" w:sz="0" w:space="0" w:color="auto"/>
        <w:bottom w:val="none" w:sz="0" w:space="0" w:color="auto"/>
        <w:right w:val="none" w:sz="0" w:space="0" w:color="auto"/>
      </w:divBdr>
      <w:divsChild>
        <w:div w:id="160390340">
          <w:marLeft w:val="0"/>
          <w:marRight w:val="0"/>
          <w:marTop w:val="0"/>
          <w:marBottom w:val="0"/>
          <w:divBdr>
            <w:top w:val="none" w:sz="0" w:space="0" w:color="auto"/>
            <w:left w:val="none" w:sz="0" w:space="0" w:color="auto"/>
            <w:bottom w:val="none" w:sz="0" w:space="0" w:color="auto"/>
            <w:right w:val="none" w:sz="0" w:space="0" w:color="auto"/>
          </w:divBdr>
        </w:div>
        <w:div w:id="2095473886">
          <w:marLeft w:val="0"/>
          <w:marRight w:val="0"/>
          <w:marTop w:val="0"/>
          <w:marBottom w:val="0"/>
          <w:divBdr>
            <w:top w:val="none" w:sz="0" w:space="0" w:color="auto"/>
            <w:left w:val="none" w:sz="0" w:space="0" w:color="auto"/>
            <w:bottom w:val="none" w:sz="0" w:space="0" w:color="auto"/>
            <w:right w:val="none" w:sz="0" w:space="0" w:color="auto"/>
          </w:divBdr>
        </w:div>
        <w:div w:id="855726182">
          <w:marLeft w:val="0"/>
          <w:marRight w:val="0"/>
          <w:marTop w:val="0"/>
          <w:marBottom w:val="0"/>
          <w:divBdr>
            <w:top w:val="none" w:sz="0" w:space="0" w:color="auto"/>
            <w:left w:val="none" w:sz="0" w:space="0" w:color="auto"/>
            <w:bottom w:val="none" w:sz="0" w:space="0" w:color="auto"/>
            <w:right w:val="none" w:sz="0" w:space="0" w:color="auto"/>
          </w:divBdr>
        </w:div>
        <w:div w:id="1462116100">
          <w:marLeft w:val="0"/>
          <w:marRight w:val="0"/>
          <w:marTop w:val="0"/>
          <w:marBottom w:val="0"/>
          <w:divBdr>
            <w:top w:val="none" w:sz="0" w:space="0" w:color="auto"/>
            <w:left w:val="none" w:sz="0" w:space="0" w:color="auto"/>
            <w:bottom w:val="none" w:sz="0" w:space="0" w:color="auto"/>
            <w:right w:val="none" w:sz="0" w:space="0" w:color="auto"/>
          </w:divBdr>
        </w:div>
        <w:div w:id="1952929937">
          <w:marLeft w:val="0"/>
          <w:marRight w:val="0"/>
          <w:marTop w:val="0"/>
          <w:marBottom w:val="0"/>
          <w:divBdr>
            <w:top w:val="none" w:sz="0" w:space="0" w:color="auto"/>
            <w:left w:val="none" w:sz="0" w:space="0" w:color="auto"/>
            <w:bottom w:val="none" w:sz="0" w:space="0" w:color="auto"/>
            <w:right w:val="none" w:sz="0" w:space="0" w:color="auto"/>
          </w:divBdr>
        </w:div>
        <w:div w:id="1567295728">
          <w:marLeft w:val="0"/>
          <w:marRight w:val="0"/>
          <w:marTop w:val="0"/>
          <w:marBottom w:val="0"/>
          <w:divBdr>
            <w:top w:val="none" w:sz="0" w:space="0" w:color="auto"/>
            <w:left w:val="none" w:sz="0" w:space="0" w:color="auto"/>
            <w:bottom w:val="none" w:sz="0" w:space="0" w:color="auto"/>
            <w:right w:val="none" w:sz="0" w:space="0" w:color="auto"/>
          </w:divBdr>
        </w:div>
        <w:div w:id="2069569757">
          <w:marLeft w:val="0"/>
          <w:marRight w:val="0"/>
          <w:marTop w:val="0"/>
          <w:marBottom w:val="0"/>
          <w:divBdr>
            <w:top w:val="none" w:sz="0" w:space="0" w:color="auto"/>
            <w:left w:val="none" w:sz="0" w:space="0" w:color="auto"/>
            <w:bottom w:val="none" w:sz="0" w:space="0" w:color="auto"/>
            <w:right w:val="none" w:sz="0" w:space="0" w:color="auto"/>
          </w:divBdr>
        </w:div>
        <w:div w:id="1112481299">
          <w:marLeft w:val="0"/>
          <w:marRight w:val="0"/>
          <w:marTop w:val="0"/>
          <w:marBottom w:val="0"/>
          <w:divBdr>
            <w:top w:val="none" w:sz="0" w:space="0" w:color="auto"/>
            <w:left w:val="none" w:sz="0" w:space="0" w:color="auto"/>
            <w:bottom w:val="none" w:sz="0" w:space="0" w:color="auto"/>
            <w:right w:val="none" w:sz="0" w:space="0" w:color="auto"/>
          </w:divBdr>
        </w:div>
        <w:div w:id="1245996344">
          <w:marLeft w:val="0"/>
          <w:marRight w:val="0"/>
          <w:marTop w:val="0"/>
          <w:marBottom w:val="0"/>
          <w:divBdr>
            <w:top w:val="none" w:sz="0" w:space="0" w:color="auto"/>
            <w:left w:val="none" w:sz="0" w:space="0" w:color="auto"/>
            <w:bottom w:val="none" w:sz="0" w:space="0" w:color="auto"/>
            <w:right w:val="none" w:sz="0" w:space="0" w:color="auto"/>
          </w:divBdr>
        </w:div>
        <w:div w:id="789132059">
          <w:marLeft w:val="0"/>
          <w:marRight w:val="0"/>
          <w:marTop w:val="0"/>
          <w:marBottom w:val="0"/>
          <w:divBdr>
            <w:top w:val="none" w:sz="0" w:space="0" w:color="auto"/>
            <w:left w:val="none" w:sz="0" w:space="0" w:color="auto"/>
            <w:bottom w:val="none" w:sz="0" w:space="0" w:color="auto"/>
            <w:right w:val="none" w:sz="0" w:space="0" w:color="auto"/>
          </w:divBdr>
        </w:div>
        <w:div w:id="955526207">
          <w:marLeft w:val="0"/>
          <w:marRight w:val="0"/>
          <w:marTop w:val="0"/>
          <w:marBottom w:val="0"/>
          <w:divBdr>
            <w:top w:val="none" w:sz="0" w:space="0" w:color="auto"/>
            <w:left w:val="none" w:sz="0" w:space="0" w:color="auto"/>
            <w:bottom w:val="none" w:sz="0" w:space="0" w:color="auto"/>
            <w:right w:val="none" w:sz="0" w:space="0" w:color="auto"/>
          </w:divBdr>
        </w:div>
        <w:div w:id="2095005743">
          <w:marLeft w:val="0"/>
          <w:marRight w:val="0"/>
          <w:marTop w:val="0"/>
          <w:marBottom w:val="0"/>
          <w:divBdr>
            <w:top w:val="none" w:sz="0" w:space="0" w:color="auto"/>
            <w:left w:val="none" w:sz="0" w:space="0" w:color="auto"/>
            <w:bottom w:val="none" w:sz="0" w:space="0" w:color="auto"/>
            <w:right w:val="none" w:sz="0" w:space="0" w:color="auto"/>
          </w:divBdr>
        </w:div>
        <w:div w:id="1573391893">
          <w:marLeft w:val="0"/>
          <w:marRight w:val="0"/>
          <w:marTop w:val="0"/>
          <w:marBottom w:val="0"/>
          <w:divBdr>
            <w:top w:val="none" w:sz="0" w:space="0" w:color="auto"/>
            <w:left w:val="none" w:sz="0" w:space="0" w:color="auto"/>
            <w:bottom w:val="none" w:sz="0" w:space="0" w:color="auto"/>
            <w:right w:val="none" w:sz="0" w:space="0" w:color="auto"/>
          </w:divBdr>
        </w:div>
        <w:div w:id="886262521">
          <w:marLeft w:val="0"/>
          <w:marRight w:val="0"/>
          <w:marTop w:val="0"/>
          <w:marBottom w:val="0"/>
          <w:divBdr>
            <w:top w:val="none" w:sz="0" w:space="0" w:color="auto"/>
            <w:left w:val="none" w:sz="0" w:space="0" w:color="auto"/>
            <w:bottom w:val="none" w:sz="0" w:space="0" w:color="auto"/>
            <w:right w:val="none" w:sz="0" w:space="0" w:color="auto"/>
          </w:divBdr>
        </w:div>
        <w:div w:id="1639802095">
          <w:marLeft w:val="0"/>
          <w:marRight w:val="0"/>
          <w:marTop w:val="0"/>
          <w:marBottom w:val="0"/>
          <w:divBdr>
            <w:top w:val="none" w:sz="0" w:space="0" w:color="auto"/>
            <w:left w:val="none" w:sz="0" w:space="0" w:color="auto"/>
            <w:bottom w:val="none" w:sz="0" w:space="0" w:color="auto"/>
            <w:right w:val="none" w:sz="0" w:space="0" w:color="auto"/>
          </w:divBdr>
        </w:div>
        <w:div w:id="1434352820">
          <w:marLeft w:val="0"/>
          <w:marRight w:val="0"/>
          <w:marTop w:val="0"/>
          <w:marBottom w:val="0"/>
          <w:divBdr>
            <w:top w:val="none" w:sz="0" w:space="0" w:color="auto"/>
            <w:left w:val="none" w:sz="0" w:space="0" w:color="auto"/>
            <w:bottom w:val="none" w:sz="0" w:space="0" w:color="auto"/>
            <w:right w:val="none" w:sz="0" w:space="0" w:color="auto"/>
          </w:divBdr>
        </w:div>
        <w:div w:id="1069038238">
          <w:marLeft w:val="0"/>
          <w:marRight w:val="0"/>
          <w:marTop w:val="0"/>
          <w:marBottom w:val="0"/>
          <w:divBdr>
            <w:top w:val="none" w:sz="0" w:space="0" w:color="auto"/>
            <w:left w:val="none" w:sz="0" w:space="0" w:color="auto"/>
            <w:bottom w:val="none" w:sz="0" w:space="0" w:color="auto"/>
            <w:right w:val="none" w:sz="0" w:space="0" w:color="auto"/>
          </w:divBdr>
        </w:div>
        <w:div w:id="1318922635">
          <w:marLeft w:val="0"/>
          <w:marRight w:val="0"/>
          <w:marTop w:val="0"/>
          <w:marBottom w:val="0"/>
          <w:divBdr>
            <w:top w:val="none" w:sz="0" w:space="0" w:color="auto"/>
            <w:left w:val="none" w:sz="0" w:space="0" w:color="auto"/>
            <w:bottom w:val="none" w:sz="0" w:space="0" w:color="auto"/>
            <w:right w:val="none" w:sz="0" w:space="0" w:color="auto"/>
          </w:divBdr>
        </w:div>
        <w:div w:id="1597639371">
          <w:marLeft w:val="0"/>
          <w:marRight w:val="0"/>
          <w:marTop w:val="0"/>
          <w:marBottom w:val="0"/>
          <w:divBdr>
            <w:top w:val="none" w:sz="0" w:space="0" w:color="auto"/>
            <w:left w:val="none" w:sz="0" w:space="0" w:color="auto"/>
            <w:bottom w:val="none" w:sz="0" w:space="0" w:color="auto"/>
            <w:right w:val="none" w:sz="0" w:space="0" w:color="auto"/>
          </w:divBdr>
        </w:div>
        <w:div w:id="640690899">
          <w:marLeft w:val="0"/>
          <w:marRight w:val="0"/>
          <w:marTop w:val="0"/>
          <w:marBottom w:val="0"/>
          <w:divBdr>
            <w:top w:val="none" w:sz="0" w:space="0" w:color="auto"/>
            <w:left w:val="none" w:sz="0" w:space="0" w:color="auto"/>
            <w:bottom w:val="none" w:sz="0" w:space="0" w:color="auto"/>
            <w:right w:val="none" w:sz="0" w:space="0" w:color="auto"/>
          </w:divBdr>
        </w:div>
        <w:div w:id="1732846442">
          <w:marLeft w:val="0"/>
          <w:marRight w:val="0"/>
          <w:marTop w:val="0"/>
          <w:marBottom w:val="0"/>
          <w:divBdr>
            <w:top w:val="none" w:sz="0" w:space="0" w:color="auto"/>
            <w:left w:val="none" w:sz="0" w:space="0" w:color="auto"/>
            <w:bottom w:val="none" w:sz="0" w:space="0" w:color="auto"/>
            <w:right w:val="none" w:sz="0" w:space="0" w:color="auto"/>
          </w:divBdr>
        </w:div>
        <w:div w:id="719480368">
          <w:marLeft w:val="0"/>
          <w:marRight w:val="0"/>
          <w:marTop w:val="0"/>
          <w:marBottom w:val="0"/>
          <w:divBdr>
            <w:top w:val="none" w:sz="0" w:space="0" w:color="auto"/>
            <w:left w:val="none" w:sz="0" w:space="0" w:color="auto"/>
            <w:bottom w:val="none" w:sz="0" w:space="0" w:color="auto"/>
            <w:right w:val="none" w:sz="0" w:space="0" w:color="auto"/>
          </w:divBdr>
        </w:div>
        <w:div w:id="1577324732">
          <w:marLeft w:val="0"/>
          <w:marRight w:val="0"/>
          <w:marTop w:val="0"/>
          <w:marBottom w:val="0"/>
          <w:divBdr>
            <w:top w:val="none" w:sz="0" w:space="0" w:color="auto"/>
            <w:left w:val="none" w:sz="0" w:space="0" w:color="auto"/>
            <w:bottom w:val="none" w:sz="0" w:space="0" w:color="auto"/>
            <w:right w:val="none" w:sz="0" w:space="0" w:color="auto"/>
          </w:divBdr>
        </w:div>
        <w:div w:id="53357309">
          <w:marLeft w:val="0"/>
          <w:marRight w:val="0"/>
          <w:marTop w:val="0"/>
          <w:marBottom w:val="0"/>
          <w:divBdr>
            <w:top w:val="none" w:sz="0" w:space="0" w:color="auto"/>
            <w:left w:val="none" w:sz="0" w:space="0" w:color="auto"/>
            <w:bottom w:val="none" w:sz="0" w:space="0" w:color="auto"/>
            <w:right w:val="none" w:sz="0" w:space="0" w:color="auto"/>
          </w:divBdr>
        </w:div>
        <w:div w:id="959917020">
          <w:marLeft w:val="0"/>
          <w:marRight w:val="0"/>
          <w:marTop w:val="0"/>
          <w:marBottom w:val="0"/>
          <w:divBdr>
            <w:top w:val="none" w:sz="0" w:space="0" w:color="auto"/>
            <w:left w:val="none" w:sz="0" w:space="0" w:color="auto"/>
            <w:bottom w:val="none" w:sz="0" w:space="0" w:color="auto"/>
            <w:right w:val="none" w:sz="0" w:space="0" w:color="auto"/>
          </w:divBdr>
        </w:div>
        <w:div w:id="525142449">
          <w:marLeft w:val="0"/>
          <w:marRight w:val="0"/>
          <w:marTop w:val="0"/>
          <w:marBottom w:val="0"/>
          <w:divBdr>
            <w:top w:val="none" w:sz="0" w:space="0" w:color="auto"/>
            <w:left w:val="none" w:sz="0" w:space="0" w:color="auto"/>
            <w:bottom w:val="none" w:sz="0" w:space="0" w:color="auto"/>
            <w:right w:val="none" w:sz="0" w:space="0" w:color="auto"/>
          </w:divBdr>
        </w:div>
        <w:div w:id="1463420512">
          <w:marLeft w:val="0"/>
          <w:marRight w:val="0"/>
          <w:marTop w:val="0"/>
          <w:marBottom w:val="0"/>
          <w:divBdr>
            <w:top w:val="none" w:sz="0" w:space="0" w:color="auto"/>
            <w:left w:val="none" w:sz="0" w:space="0" w:color="auto"/>
            <w:bottom w:val="none" w:sz="0" w:space="0" w:color="auto"/>
            <w:right w:val="none" w:sz="0" w:space="0" w:color="auto"/>
          </w:divBdr>
        </w:div>
        <w:div w:id="261112326">
          <w:marLeft w:val="0"/>
          <w:marRight w:val="0"/>
          <w:marTop w:val="0"/>
          <w:marBottom w:val="0"/>
          <w:divBdr>
            <w:top w:val="none" w:sz="0" w:space="0" w:color="auto"/>
            <w:left w:val="none" w:sz="0" w:space="0" w:color="auto"/>
            <w:bottom w:val="none" w:sz="0" w:space="0" w:color="auto"/>
            <w:right w:val="none" w:sz="0" w:space="0" w:color="auto"/>
          </w:divBdr>
        </w:div>
        <w:div w:id="171258621">
          <w:marLeft w:val="0"/>
          <w:marRight w:val="0"/>
          <w:marTop w:val="0"/>
          <w:marBottom w:val="0"/>
          <w:divBdr>
            <w:top w:val="none" w:sz="0" w:space="0" w:color="auto"/>
            <w:left w:val="none" w:sz="0" w:space="0" w:color="auto"/>
            <w:bottom w:val="none" w:sz="0" w:space="0" w:color="auto"/>
            <w:right w:val="none" w:sz="0" w:space="0" w:color="auto"/>
          </w:divBdr>
        </w:div>
        <w:div w:id="425031228">
          <w:marLeft w:val="0"/>
          <w:marRight w:val="0"/>
          <w:marTop w:val="0"/>
          <w:marBottom w:val="0"/>
          <w:divBdr>
            <w:top w:val="none" w:sz="0" w:space="0" w:color="auto"/>
            <w:left w:val="none" w:sz="0" w:space="0" w:color="auto"/>
            <w:bottom w:val="none" w:sz="0" w:space="0" w:color="auto"/>
            <w:right w:val="none" w:sz="0" w:space="0" w:color="auto"/>
          </w:divBdr>
        </w:div>
        <w:div w:id="26836952">
          <w:marLeft w:val="0"/>
          <w:marRight w:val="0"/>
          <w:marTop w:val="0"/>
          <w:marBottom w:val="0"/>
          <w:divBdr>
            <w:top w:val="none" w:sz="0" w:space="0" w:color="auto"/>
            <w:left w:val="none" w:sz="0" w:space="0" w:color="auto"/>
            <w:bottom w:val="none" w:sz="0" w:space="0" w:color="auto"/>
            <w:right w:val="none" w:sz="0" w:space="0" w:color="auto"/>
          </w:divBdr>
        </w:div>
        <w:div w:id="796874251">
          <w:marLeft w:val="0"/>
          <w:marRight w:val="0"/>
          <w:marTop w:val="0"/>
          <w:marBottom w:val="0"/>
          <w:divBdr>
            <w:top w:val="none" w:sz="0" w:space="0" w:color="auto"/>
            <w:left w:val="none" w:sz="0" w:space="0" w:color="auto"/>
            <w:bottom w:val="none" w:sz="0" w:space="0" w:color="auto"/>
            <w:right w:val="none" w:sz="0" w:space="0" w:color="auto"/>
          </w:divBdr>
        </w:div>
        <w:div w:id="282924440">
          <w:marLeft w:val="0"/>
          <w:marRight w:val="0"/>
          <w:marTop w:val="0"/>
          <w:marBottom w:val="0"/>
          <w:divBdr>
            <w:top w:val="none" w:sz="0" w:space="0" w:color="auto"/>
            <w:left w:val="none" w:sz="0" w:space="0" w:color="auto"/>
            <w:bottom w:val="none" w:sz="0" w:space="0" w:color="auto"/>
            <w:right w:val="none" w:sz="0" w:space="0" w:color="auto"/>
          </w:divBdr>
        </w:div>
        <w:div w:id="1830170009">
          <w:marLeft w:val="0"/>
          <w:marRight w:val="0"/>
          <w:marTop w:val="0"/>
          <w:marBottom w:val="0"/>
          <w:divBdr>
            <w:top w:val="none" w:sz="0" w:space="0" w:color="auto"/>
            <w:left w:val="none" w:sz="0" w:space="0" w:color="auto"/>
            <w:bottom w:val="none" w:sz="0" w:space="0" w:color="auto"/>
            <w:right w:val="none" w:sz="0" w:space="0" w:color="auto"/>
          </w:divBdr>
        </w:div>
        <w:div w:id="1551569906">
          <w:marLeft w:val="0"/>
          <w:marRight w:val="0"/>
          <w:marTop w:val="0"/>
          <w:marBottom w:val="0"/>
          <w:divBdr>
            <w:top w:val="none" w:sz="0" w:space="0" w:color="auto"/>
            <w:left w:val="none" w:sz="0" w:space="0" w:color="auto"/>
            <w:bottom w:val="none" w:sz="0" w:space="0" w:color="auto"/>
            <w:right w:val="none" w:sz="0" w:space="0" w:color="auto"/>
          </w:divBdr>
        </w:div>
        <w:div w:id="1071805852">
          <w:marLeft w:val="0"/>
          <w:marRight w:val="0"/>
          <w:marTop w:val="0"/>
          <w:marBottom w:val="0"/>
          <w:divBdr>
            <w:top w:val="none" w:sz="0" w:space="0" w:color="auto"/>
            <w:left w:val="none" w:sz="0" w:space="0" w:color="auto"/>
            <w:bottom w:val="none" w:sz="0" w:space="0" w:color="auto"/>
            <w:right w:val="none" w:sz="0" w:space="0" w:color="auto"/>
          </w:divBdr>
        </w:div>
        <w:div w:id="326132695">
          <w:marLeft w:val="0"/>
          <w:marRight w:val="0"/>
          <w:marTop w:val="0"/>
          <w:marBottom w:val="0"/>
          <w:divBdr>
            <w:top w:val="none" w:sz="0" w:space="0" w:color="auto"/>
            <w:left w:val="none" w:sz="0" w:space="0" w:color="auto"/>
            <w:bottom w:val="none" w:sz="0" w:space="0" w:color="auto"/>
            <w:right w:val="none" w:sz="0" w:space="0" w:color="auto"/>
          </w:divBdr>
        </w:div>
        <w:div w:id="14507345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588</Words>
  <Characters>3354</Characters>
  <Application>Microsoft Office Word</Application>
  <DocSecurity>0</DocSecurity>
  <Lines>27</Lines>
  <Paragraphs>7</Paragraphs>
  <ScaleCrop>false</ScaleCrop>
  <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2018-05-14T01:38:00Z</dcterms:created>
  <dcterms:modified xsi:type="dcterms:W3CDTF">2018-05-14T01:38:00Z</dcterms:modified>
</cp:coreProperties>
</file>